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CD1F97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D36704">
        <w:rPr>
          <w:rFonts w:eastAsia="Arial Unicode MS"/>
          <w:b/>
        </w:rPr>
        <w:t>7</w:t>
      </w:r>
    </w:p>
    <w:p w14:paraId="4EB22F97" w14:textId="6965EEEA"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D36704">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6897DA3A" w14:textId="77777777" w:rsidR="00D36704" w:rsidRPr="00190D02" w:rsidRDefault="00D36704" w:rsidP="00B87C34">
      <w:pPr>
        <w:widowControl w:val="0"/>
        <w:suppressAutoHyphens/>
        <w:jc w:val="both"/>
        <w:rPr>
          <w:rFonts w:eastAsia="SimSun"/>
          <w:b/>
          <w:kern w:val="2"/>
          <w:lang w:eastAsia="hi-IN" w:bidi="hi-IN"/>
        </w:rPr>
      </w:pPr>
      <w:r w:rsidRPr="00190D02">
        <w:rPr>
          <w:rFonts w:eastAsia="SimSun"/>
          <w:b/>
          <w:kern w:val="2"/>
          <w:lang w:eastAsia="hi-IN" w:bidi="hi-IN"/>
        </w:rPr>
        <w:t xml:space="preserve">Par finansējuma piešķiršanu </w:t>
      </w:r>
      <w:r w:rsidRPr="00190D02">
        <w:rPr>
          <w:rFonts w:eastAsia="SimSun"/>
          <w:b/>
          <w:bCs/>
          <w:kern w:val="2"/>
          <w:lang w:eastAsia="hi-IN" w:bidi="hi-IN"/>
        </w:rPr>
        <w:t>ugunsgrēka atklāšanas un trauksmes sistēmas ierīkošanai administratīvajā ēkā Oskara Kalpaka iel</w:t>
      </w:r>
      <w:r>
        <w:rPr>
          <w:rFonts w:eastAsia="SimSun"/>
          <w:b/>
          <w:bCs/>
          <w:kern w:val="2"/>
          <w:lang w:eastAsia="hi-IN" w:bidi="hi-IN"/>
        </w:rPr>
        <w:t>ā</w:t>
      </w:r>
      <w:r w:rsidRPr="00190D02">
        <w:rPr>
          <w:rFonts w:eastAsia="SimSun"/>
          <w:b/>
          <w:bCs/>
          <w:kern w:val="2"/>
          <w:lang w:eastAsia="hi-IN" w:bidi="hi-IN"/>
        </w:rPr>
        <w:t xml:space="preserve"> 2 Lubān</w:t>
      </w:r>
      <w:r>
        <w:rPr>
          <w:rFonts w:eastAsia="SimSun"/>
          <w:b/>
          <w:bCs/>
          <w:kern w:val="2"/>
          <w:lang w:eastAsia="hi-IN" w:bidi="hi-IN"/>
        </w:rPr>
        <w:t>ā</w:t>
      </w:r>
      <w:r w:rsidRPr="00190D02">
        <w:rPr>
          <w:rFonts w:eastAsia="SimSun"/>
          <w:b/>
          <w:bCs/>
          <w:kern w:val="2"/>
          <w:lang w:eastAsia="hi-IN" w:bidi="hi-IN"/>
        </w:rPr>
        <w:t>, Madonas nov</w:t>
      </w:r>
      <w:r>
        <w:rPr>
          <w:rFonts w:eastAsia="SimSun"/>
          <w:b/>
          <w:bCs/>
          <w:kern w:val="2"/>
          <w:lang w:eastAsia="hi-IN" w:bidi="hi-IN"/>
        </w:rPr>
        <w:t>adā</w:t>
      </w:r>
    </w:p>
    <w:p w14:paraId="1A78C6E2" w14:textId="77777777" w:rsidR="00D36704" w:rsidRPr="00BB1C74" w:rsidRDefault="00D36704" w:rsidP="00B87C34">
      <w:pPr>
        <w:jc w:val="both"/>
        <w:rPr>
          <w:rFonts w:eastAsia="Calibri"/>
          <w:i/>
          <w:u w:val="single"/>
          <w:lang w:eastAsia="en-US"/>
        </w:rPr>
      </w:pPr>
    </w:p>
    <w:p w14:paraId="26728679" w14:textId="308E906B" w:rsidR="00D36704" w:rsidRPr="00322785" w:rsidRDefault="00D36704" w:rsidP="00B87C34">
      <w:pPr>
        <w:jc w:val="both"/>
        <w:rPr>
          <w:iCs/>
        </w:rPr>
      </w:pPr>
      <w:bookmarkStart w:id="137" w:name="_Hlk152090412"/>
      <w:r>
        <w:rPr>
          <w:iCs/>
        </w:rPr>
        <w:t xml:space="preserve">     </w:t>
      </w:r>
      <w:r>
        <w:rPr>
          <w:iCs/>
        </w:rPr>
        <w:tab/>
        <w:t>Pašvaldības administratīvā ēkā Oskara Kalpaka ielā 2, Lubānā, Madonas nov</w:t>
      </w:r>
      <w:r w:rsidR="00B87C34">
        <w:rPr>
          <w:iCs/>
        </w:rPr>
        <w:t>adā</w:t>
      </w:r>
      <w:r>
        <w:rPr>
          <w:iCs/>
        </w:rPr>
        <w:t xml:space="preserve"> (būves kadastra apzīmējums 7013 002 0143 001, nedzīvojamo telpu platība 506,1 m</w:t>
      </w:r>
      <w:r>
        <w:rPr>
          <w:iCs/>
          <w:vertAlign w:val="superscript"/>
        </w:rPr>
        <w:t xml:space="preserve">2 </w:t>
      </w:r>
      <w:r>
        <w:rPr>
          <w:iCs/>
        </w:rPr>
        <w:t xml:space="preserve">) izvietota Lubānas pilsētas bibliotēka un trīs telpas, kas tiek iznomātas komersantiem, ēkā nav ierīkota </w:t>
      </w:r>
      <w:r w:rsidRPr="00364076">
        <w:rPr>
          <w:rFonts w:eastAsiaTheme="minorHAnsi"/>
          <w:lang w:eastAsia="en-US"/>
        </w:rPr>
        <w:t>automātiskās ugunsgrēka atklāšanas un trauksmes signalizācija</w:t>
      </w:r>
      <w:r>
        <w:rPr>
          <w:rFonts w:eastAsiaTheme="minorHAnsi"/>
          <w:lang w:eastAsia="en-US"/>
        </w:rPr>
        <w:t>.</w:t>
      </w:r>
      <w:r>
        <w:rPr>
          <w:iCs/>
        </w:rPr>
        <w:t xml:space="preserve">  </w:t>
      </w:r>
    </w:p>
    <w:p w14:paraId="129D968B" w14:textId="77777777" w:rsidR="00D36704" w:rsidRPr="00364076" w:rsidRDefault="00D36704" w:rsidP="00B87C34">
      <w:pPr>
        <w:widowControl w:val="0"/>
        <w:suppressAutoHyphens/>
        <w:spacing w:after="200"/>
        <w:contextualSpacing/>
        <w:jc w:val="both"/>
        <w:rPr>
          <w:rFonts w:eastAsiaTheme="minorHAnsi"/>
          <w:lang w:eastAsia="en-US"/>
        </w:rPr>
      </w:pPr>
      <w:r>
        <w:rPr>
          <w:rFonts w:eastAsiaTheme="minorHAnsi"/>
          <w:lang w:eastAsia="en-US"/>
        </w:rPr>
        <w:t xml:space="preserve">     </w:t>
      </w:r>
      <w:r>
        <w:rPr>
          <w:rFonts w:eastAsiaTheme="minorHAnsi"/>
          <w:lang w:eastAsia="en-US"/>
        </w:rPr>
        <w:tab/>
      </w:r>
      <w:r w:rsidRPr="00364076">
        <w:rPr>
          <w:rFonts w:eastAsiaTheme="minorHAnsi"/>
          <w:lang w:eastAsia="en-US"/>
        </w:rPr>
        <w:t>Latvijas būvnormatīvu LBN 201-15 "Būvju ugunsdrošība" 185.2. punktā noteikts, ka automātiskās ugunsgrēka atklāšanas un trauksmes signalizācijas sistēmas paredz II, III, IV, IVa un V lietošanas veida būvēs un telpās, kuru stāvu kopējā platība ir lielāka par 200 m</w:t>
      </w:r>
      <w:r w:rsidRPr="00364076">
        <w:rPr>
          <w:rFonts w:eastAsiaTheme="minorHAnsi"/>
          <w:vertAlign w:val="superscript"/>
          <w:lang w:eastAsia="en-US"/>
        </w:rPr>
        <w:t>2</w:t>
      </w:r>
      <w:r>
        <w:rPr>
          <w:rFonts w:eastAsiaTheme="minorHAnsi"/>
          <w:lang w:eastAsia="en-US"/>
        </w:rPr>
        <w:t>.</w:t>
      </w:r>
      <w:r w:rsidRPr="00364076">
        <w:rPr>
          <w:rFonts w:eastAsiaTheme="minorHAnsi"/>
          <w:lang w:eastAsia="en-US"/>
        </w:rPr>
        <w:t xml:space="preserve"> </w:t>
      </w:r>
      <w:r>
        <w:rPr>
          <w:rFonts w:eastAsiaTheme="minorHAnsi"/>
          <w:lang w:eastAsia="en-US"/>
        </w:rPr>
        <w:t xml:space="preserve">Saskaņā ar iepriekš nosaukto būvnormatīvu, ēka Osakara Kalpaka ielā 2, Lubānā atbilst </w:t>
      </w:r>
      <w:r>
        <w:t>V lietošanas veidam un tās būtu - būves un telpas, kas parasti tiek izmantotas dienā un kurās pastāvīgi uzturas lietotāji, kas pārzina telpas un var patstāvīgi evakuēties, tai skaitā administratīvās ēkas, valsts un pašvaldību iestādes, valsts robežkontroles punkti, arhīvi, bankas, biroju ēkas, glābšanas dienestu būves, zinātnes un pētniecības iestāžu ēkas, kā arī izglītības iestādes, kurās nodrošina vidējo, vidējo profesionālo, augstāko un interešu izglītību.</w:t>
      </w:r>
    </w:p>
    <w:p w14:paraId="42A50A05" w14:textId="77777777" w:rsidR="00D36704" w:rsidRPr="00FA709D" w:rsidRDefault="00D36704" w:rsidP="00B87C34">
      <w:pPr>
        <w:widowControl w:val="0"/>
        <w:suppressAutoHyphens/>
        <w:spacing w:after="200"/>
        <w:contextualSpacing/>
        <w:jc w:val="both"/>
        <w:rPr>
          <w:rFonts w:eastAsiaTheme="minorHAnsi"/>
          <w:lang w:eastAsia="en-US"/>
        </w:rPr>
      </w:pPr>
      <w:r>
        <w:rPr>
          <w:rFonts w:eastAsiaTheme="minorHAnsi"/>
          <w:lang w:eastAsia="en-US"/>
        </w:rPr>
        <w:t xml:space="preserve">     </w:t>
      </w:r>
      <w:r>
        <w:rPr>
          <w:rFonts w:eastAsiaTheme="minorHAnsi"/>
          <w:lang w:eastAsia="en-US"/>
        </w:rPr>
        <w:tab/>
        <w:t>A</w:t>
      </w:r>
      <w:r w:rsidRPr="00364076">
        <w:rPr>
          <w:rFonts w:eastAsiaTheme="minorHAnsi"/>
          <w:lang w:eastAsia="en-US"/>
        </w:rPr>
        <w:t>utomātiskās ugunsgrēka atklāšanas un trauksmes signalizācija</w:t>
      </w:r>
      <w:r>
        <w:rPr>
          <w:rFonts w:eastAsiaTheme="minorHAnsi"/>
          <w:lang w:eastAsia="en-US"/>
        </w:rPr>
        <w:t>s uzstādīšanas projekts iekļauts Lubānas apvienības pārvaldes 2024. gada Iepirkumu plānā, pārvalde veikusi</w:t>
      </w:r>
      <w:r w:rsidRPr="00364076">
        <w:rPr>
          <w:rFonts w:eastAsiaTheme="minorHAnsi"/>
          <w:lang w:eastAsia="en-US"/>
        </w:rPr>
        <w:t xml:space="preserve"> tirgus izpēti</w:t>
      </w:r>
      <w:r>
        <w:rPr>
          <w:rFonts w:eastAsiaTheme="minorHAnsi"/>
          <w:lang w:eastAsia="en-US"/>
        </w:rPr>
        <w:t xml:space="preserve">, projekta realizācijai nepieciešams finansējums EUR </w:t>
      </w:r>
      <w:r w:rsidRPr="00F95F7F">
        <w:rPr>
          <w:rFonts w:eastAsiaTheme="minorHAnsi"/>
          <w:color w:val="000000"/>
          <w:lang w:eastAsia="en-US"/>
          <w14:ligatures w14:val="standardContextual"/>
        </w:rPr>
        <w:t>4450,46</w:t>
      </w:r>
      <w:r>
        <w:rPr>
          <w:rFonts w:eastAsiaTheme="minorHAnsi"/>
          <w:lang w:eastAsia="en-US"/>
        </w:rPr>
        <w:t xml:space="preserve"> ar PVN.</w:t>
      </w:r>
    </w:p>
    <w:p w14:paraId="462440A1" w14:textId="0B29E78E" w:rsidR="008603D0" w:rsidRDefault="00D36704" w:rsidP="00B87C34">
      <w:pPr>
        <w:ind w:firstLine="720"/>
        <w:jc w:val="both"/>
        <w:rPr>
          <w:lang w:eastAsia="lo-LA" w:bidi="lo-LA"/>
        </w:rPr>
      </w:pPr>
      <w:r w:rsidRPr="00364076">
        <w:rPr>
          <w:rFonts w:eastAsia="SimSun"/>
          <w:kern w:val="2"/>
          <w:lang w:eastAsia="hi-IN" w:bidi="hi-IN"/>
        </w:rPr>
        <w:t xml:space="preserve">Noklausījusies sniegto informāciju, </w:t>
      </w:r>
      <w:r w:rsidRPr="00B36E6E">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B87C34">
        <w:t>s</w:t>
      </w:r>
      <w:r w:rsidRPr="00EC3D6D">
        <w:t xml:space="preserve">, </w:t>
      </w:r>
      <w:r w:rsidR="008603D0">
        <w:rPr>
          <w:lang w:eastAsia="lo-LA" w:bidi="lo-LA"/>
        </w:rPr>
        <w:t>atklāti balsojot</w:t>
      </w:r>
      <w:r w:rsidR="008603D0">
        <w:rPr>
          <w:b/>
          <w:lang w:eastAsia="lo-LA" w:bidi="lo-LA"/>
        </w:rPr>
        <w:t xml:space="preserve">: PAR - </w:t>
      </w:r>
      <w:r w:rsidR="008603D0">
        <w:rPr>
          <w:rFonts w:eastAsia="Calibri"/>
          <w:b/>
          <w:noProof/>
          <w:lang w:eastAsia="en-US"/>
        </w:rPr>
        <w:t xml:space="preserve">16 </w:t>
      </w:r>
      <w:r w:rsidR="008603D0">
        <w:rPr>
          <w:rFonts w:eastAsia="Calibri"/>
          <w:bCs/>
          <w:noProof/>
          <w:lang w:eastAsia="en-US"/>
        </w:rPr>
        <w:t>(</w:t>
      </w:r>
      <w:r w:rsidR="008603D0">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8603D0">
        <w:rPr>
          <w:rFonts w:eastAsia="Calibri"/>
          <w:bCs/>
          <w:noProof/>
          <w:lang w:eastAsia="en-US"/>
        </w:rPr>
        <w:t xml:space="preserve">), </w:t>
      </w:r>
      <w:r w:rsidR="008603D0">
        <w:rPr>
          <w:b/>
          <w:lang w:eastAsia="lo-LA" w:bidi="lo-LA"/>
        </w:rPr>
        <w:t>PRET - NAV, ATTURAS - NAV</w:t>
      </w:r>
      <w:r w:rsidR="008603D0">
        <w:rPr>
          <w:lang w:eastAsia="lo-LA" w:bidi="lo-LA"/>
        </w:rPr>
        <w:t xml:space="preserve">, Madonas novada pašvaldības dome </w:t>
      </w:r>
      <w:r w:rsidR="008603D0">
        <w:rPr>
          <w:b/>
          <w:lang w:eastAsia="lo-LA" w:bidi="lo-LA"/>
        </w:rPr>
        <w:t>NOLEMJ</w:t>
      </w:r>
      <w:r w:rsidR="008603D0">
        <w:rPr>
          <w:lang w:eastAsia="lo-LA" w:bidi="lo-LA"/>
        </w:rPr>
        <w:t>:</w:t>
      </w:r>
    </w:p>
    <w:p w14:paraId="5A64CC69" w14:textId="77D02AF7" w:rsidR="00D36704" w:rsidRPr="00364076" w:rsidRDefault="00D36704" w:rsidP="00B87C34">
      <w:pPr>
        <w:ind w:firstLine="709"/>
        <w:jc w:val="both"/>
        <w:rPr>
          <w:rFonts w:eastAsia="SimSun"/>
          <w:kern w:val="2"/>
          <w:lang w:eastAsia="hi-IN" w:bidi="hi-IN"/>
        </w:rPr>
      </w:pPr>
    </w:p>
    <w:p w14:paraId="6802CBE8" w14:textId="61A4F3B2" w:rsidR="00D36704" w:rsidRPr="00364076" w:rsidRDefault="00D36704" w:rsidP="00B87C34">
      <w:pPr>
        <w:widowControl w:val="0"/>
        <w:suppressAutoHyphens/>
        <w:jc w:val="both"/>
        <w:rPr>
          <w:rFonts w:eastAsia="SimSun"/>
          <w:bCs/>
          <w:kern w:val="2"/>
          <w:lang w:eastAsia="hi-IN" w:bidi="hi-IN"/>
        </w:rPr>
      </w:pPr>
      <w:r w:rsidRPr="00364076">
        <w:rPr>
          <w:rFonts w:eastAsia="SimSun"/>
          <w:kern w:val="2"/>
          <w:lang w:eastAsia="hi-IN" w:bidi="hi-IN"/>
        </w:rPr>
        <w:t xml:space="preserve">   </w:t>
      </w:r>
      <w:r w:rsidRPr="00364076">
        <w:rPr>
          <w:rFonts w:eastAsia="SimSun"/>
          <w:kern w:val="2"/>
          <w:lang w:eastAsia="hi-IN" w:bidi="hi-IN"/>
        </w:rPr>
        <w:tab/>
      </w:r>
      <w:r w:rsidRPr="00364076">
        <w:rPr>
          <w:rFonts w:eastAsia="SimSun"/>
          <w:bCs/>
          <w:kern w:val="2"/>
          <w:lang w:eastAsia="hi-IN" w:bidi="hi-IN"/>
        </w:rPr>
        <w:t xml:space="preserve">Piešķirt finansējumu EUR </w:t>
      </w:r>
      <w:r w:rsidRPr="00F95F7F">
        <w:rPr>
          <w:rFonts w:eastAsiaTheme="minorHAnsi"/>
          <w:color w:val="000000"/>
          <w:lang w:eastAsia="en-US"/>
          <w14:ligatures w14:val="standardContextual"/>
        </w:rPr>
        <w:t>4450,46</w:t>
      </w:r>
      <w:r>
        <w:rPr>
          <w:rFonts w:eastAsiaTheme="minorHAnsi"/>
          <w:lang w:eastAsia="en-US"/>
        </w:rPr>
        <w:t xml:space="preserve"> </w:t>
      </w:r>
      <w:r w:rsidRPr="00364076">
        <w:rPr>
          <w:rFonts w:eastAsia="SimSun"/>
          <w:bCs/>
          <w:kern w:val="2"/>
          <w:lang w:eastAsia="hi-IN" w:bidi="hi-IN"/>
        </w:rPr>
        <w:t xml:space="preserve"> </w:t>
      </w:r>
      <w:r w:rsidRPr="00364076">
        <w:rPr>
          <w:rFonts w:eastAsia="SimSun"/>
          <w:kern w:val="2"/>
          <w:lang w:eastAsia="hi-IN" w:bidi="hi-IN"/>
        </w:rPr>
        <w:t xml:space="preserve">ugunsgrēka atklāšanas un trauksmes sistēmas ierīkošanai </w:t>
      </w:r>
      <w:r>
        <w:rPr>
          <w:rFonts w:eastAsia="SimSun"/>
          <w:kern w:val="2"/>
          <w:lang w:eastAsia="hi-IN" w:bidi="hi-IN"/>
        </w:rPr>
        <w:t>administratīvajā ēkā</w:t>
      </w:r>
      <w:r w:rsidRPr="00364076">
        <w:rPr>
          <w:rFonts w:eastAsia="SimSun"/>
          <w:kern w:val="2"/>
          <w:lang w:eastAsia="hi-IN" w:bidi="hi-IN"/>
        </w:rPr>
        <w:t xml:space="preserve"> Oskara Kalpaka iel</w:t>
      </w:r>
      <w:r>
        <w:rPr>
          <w:rFonts w:eastAsia="SimSun"/>
          <w:kern w:val="2"/>
          <w:lang w:eastAsia="hi-IN" w:bidi="hi-IN"/>
        </w:rPr>
        <w:t>ā</w:t>
      </w:r>
      <w:r w:rsidRPr="00364076">
        <w:rPr>
          <w:rFonts w:eastAsia="SimSun"/>
          <w:kern w:val="2"/>
          <w:lang w:eastAsia="hi-IN" w:bidi="hi-IN"/>
        </w:rPr>
        <w:t xml:space="preserve"> </w:t>
      </w:r>
      <w:r>
        <w:rPr>
          <w:rFonts w:eastAsia="SimSun"/>
          <w:kern w:val="2"/>
          <w:lang w:eastAsia="hi-IN" w:bidi="hi-IN"/>
        </w:rPr>
        <w:t>2</w:t>
      </w:r>
      <w:r w:rsidRPr="00364076">
        <w:rPr>
          <w:rFonts w:eastAsia="SimSun"/>
          <w:kern w:val="2"/>
          <w:lang w:eastAsia="hi-IN" w:bidi="hi-IN"/>
        </w:rPr>
        <w:t>, Lubān</w:t>
      </w:r>
      <w:r>
        <w:rPr>
          <w:rFonts w:eastAsia="SimSun"/>
          <w:kern w:val="2"/>
          <w:lang w:eastAsia="hi-IN" w:bidi="hi-IN"/>
        </w:rPr>
        <w:t>ā</w:t>
      </w:r>
      <w:r w:rsidR="00B87C34">
        <w:rPr>
          <w:rFonts w:eastAsia="SimSun"/>
          <w:kern w:val="2"/>
          <w:lang w:eastAsia="hi-IN" w:bidi="hi-IN"/>
        </w:rPr>
        <w:t>,</w:t>
      </w:r>
      <w:r>
        <w:rPr>
          <w:rFonts w:eastAsia="SimSun"/>
          <w:kern w:val="2"/>
          <w:lang w:eastAsia="hi-IN" w:bidi="hi-IN"/>
        </w:rPr>
        <w:t xml:space="preserve"> </w:t>
      </w:r>
      <w:r w:rsidRPr="00364076">
        <w:rPr>
          <w:rFonts w:eastAsia="SimSun"/>
          <w:bCs/>
          <w:kern w:val="2"/>
          <w:lang w:eastAsia="hi-IN" w:bidi="hi-IN"/>
        </w:rPr>
        <w:t>no 202</w:t>
      </w:r>
      <w:r>
        <w:rPr>
          <w:rFonts w:eastAsia="SimSun"/>
          <w:bCs/>
          <w:kern w:val="2"/>
          <w:lang w:eastAsia="hi-IN" w:bidi="hi-IN"/>
        </w:rPr>
        <w:t>4</w:t>
      </w:r>
      <w:r w:rsidRPr="00364076">
        <w:rPr>
          <w:rFonts w:eastAsia="SimSun"/>
          <w:bCs/>
          <w:kern w:val="2"/>
          <w:lang w:eastAsia="hi-IN" w:bidi="hi-IN"/>
        </w:rPr>
        <w:t xml:space="preserve">. gada Madonas novada pašvaldības budžeta nesadalītajiem līdzekļiem, kas ņemti no Lubānas apvienības pārvaldes </w:t>
      </w:r>
      <w:r>
        <w:rPr>
          <w:rFonts w:eastAsia="SimSun"/>
          <w:bCs/>
          <w:kern w:val="2"/>
          <w:lang w:eastAsia="hi-IN" w:bidi="hi-IN"/>
        </w:rPr>
        <w:t>iepriekšējā gada</w:t>
      </w:r>
      <w:r w:rsidRPr="00364076">
        <w:rPr>
          <w:rFonts w:eastAsia="SimSun"/>
          <w:bCs/>
          <w:kern w:val="2"/>
          <w:lang w:eastAsia="hi-IN" w:bidi="hi-IN"/>
        </w:rPr>
        <w:t xml:space="preserve"> atlikuma.</w:t>
      </w:r>
    </w:p>
    <w:bookmarkEnd w:id="137"/>
    <w:p w14:paraId="24D91B8C" w14:textId="77777777" w:rsidR="00D36704" w:rsidRPr="00E80027" w:rsidRDefault="00D36704" w:rsidP="00B87C34">
      <w:pPr>
        <w:widowControl w:val="0"/>
        <w:suppressAutoHyphens/>
        <w:jc w:val="both"/>
        <w:rPr>
          <w:rFonts w:eastAsia="Calibri"/>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B87C34">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289692" w14:textId="638885ED" w:rsidR="00926ADD" w:rsidRDefault="00ED36C0" w:rsidP="00B87C34">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77777777" w:rsidR="005A0266" w:rsidRPr="00507A5F" w:rsidRDefault="005A0266" w:rsidP="00B87C34">
      <w:pPr>
        <w:jc w:val="both"/>
      </w:pPr>
    </w:p>
    <w:p w14:paraId="35EDE785" w14:textId="77777777" w:rsidR="00D36704" w:rsidRPr="00D36704" w:rsidRDefault="00D36704" w:rsidP="00B87C34">
      <w:pPr>
        <w:tabs>
          <w:tab w:val="left" w:pos="888"/>
        </w:tabs>
        <w:ind w:right="-58"/>
        <w:jc w:val="both"/>
        <w:rPr>
          <w:rFonts w:eastAsia="Calibri"/>
          <w:lang w:eastAsia="en-US"/>
        </w:rPr>
      </w:pPr>
      <w:r w:rsidRPr="00D36704">
        <w:rPr>
          <w:rFonts w:eastAsia="Calibri"/>
          <w:i/>
          <w:lang w:eastAsia="en-US"/>
        </w:rPr>
        <w:t>Bodžs</w:t>
      </w:r>
      <w:r w:rsidRPr="00D36704">
        <w:rPr>
          <w:rFonts w:eastAsia="Calibri"/>
          <w:i/>
          <w:iCs/>
          <w:lang w:eastAsia="en-US"/>
        </w:rPr>
        <w:t xml:space="preserve"> </w:t>
      </w:r>
      <w:r w:rsidRPr="00D36704">
        <w:rPr>
          <w:i/>
          <w:iCs/>
          <w:noProof/>
          <w:color w:val="333333"/>
        </w:rPr>
        <w:t>26165144</w:t>
      </w:r>
    </w:p>
    <w:p w14:paraId="00A4042A" w14:textId="750D33CB" w:rsidR="001C5D95" w:rsidRPr="00507A5F" w:rsidRDefault="001C5D95" w:rsidP="00B87C34">
      <w:pPr>
        <w:jc w:val="both"/>
        <w:rPr>
          <w:i/>
          <w:kern w:val="1"/>
        </w:rPr>
      </w:pPr>
    </w:p>
    <w:sectPr w:rsidR="001C5D95" w:rsidRPr="00507A5F" w:rsidSect="008603D0">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33CF" w14:textId="77777777" w:rsidR="008B76EA" w:rsidRDefault="008B76EA" w:rsidP="000509C7">
      <w:r>
        <w:separator/>
      </w:r>
    </w:p>
  </w:endnote>
  <w:endnote w:type="continuationSeparator" w:id="0">
    <w:p w14:paraId="0482AD35" w14:textId="77777777" w:rsidR="008B76EA" w:rsidRDefault="008B76E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ECB9" w14:textId="77777777" w:rsidR="008B76EA" w:rsidRDefault="008B76EA" w:rsidP="000509C7">
      <w:r>
        <w:separator/>
      </w:r>
    </w:p>
  </w:footnote>
  <w:footnote w:type="continuationSeparator" w:id="0">
    <w:p w14:paraId="413548C1" w14:textId="77777777" w:rsidR="008B76EA" w:rsidRDefault="008B76E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E02F8"/>
    <w:rsid w:val="007E6FCA"/>
    <w:rsid w:val="0080709B"/>
    <w:rsid w:val="00820BE0"/>
    <w:rsid w:val="00822FF0"/>
    <w:rsid w:val="008319F2"/>
    <w:rsid w:val="00832489"/>
    <w:rsid w:val="008603D0"/>
    <w:rsid w:val="00872414"/>
    <w:rsid w:val="00890A98"/>
    <w:rsid w:val="008A4B1A"/>
    <w:rsid w:val="008B0EF4"/>
    <w:rsid w:val="008B56BD"/>
    <w:rsid w:val="008B76EA"/>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403A4"/>
    <w:rsid w:val="00B601AC"/>
    <w:rsid w:val="00B83120"/>
    <w:rsid w:val="00B87C34"/>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36704"/>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1237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1815</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135</cp:revision>
  <cp:lastPrinted>2024-02-28T16:04:00Z</cp:lastPrinted>
  <dcterms:created xsi:type="dcterms:W3CDTF">2024-02-20T07:30:00Z</dcterms:created>
  <dcterms:modified xsi:type="dcterms:W3CDTF">2024-03-29T07:33:00Z</dcterms:modified>
</cp:coreProperties>
</file>